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hAnsi="仿宋_GB2312" w:eastAsia="黑体" w:cs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仿宋_GB2312" w:eastAsia="黑体" w:cs="仿宋_GB2312"/>
          <w:sz w:val="32"/>
          <w:szCs w:val="32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ascii="仿宋_GB2312" w:hAnsi="仿宋_GB2312" w:eastAsia="仿宋_GB2312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落实山东省中小微企业创新竞技行动计划支持政策汇总表</w:t>
      </w:r>
    </w:p>
    <w:p>
      <w:pPr>
        <w:adjustRightInd w:val="0"/>
        <w:snapToGrid w:val="0"/>
        <w:spacing w:line="560" w:lineRule="exact"/>
        <w:ind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推荐单位：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市科技局（盖章）</w:t>
      </w:r>
    </w:p>
    <w:tbl>
      <w:tblPr>
        <w:tblStyle w:val="6"/>
        <w:tblW w:w="1391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514"/>
        <w:gridCol w:w="1362"/>
        <w:gridCol w:w="1664"/>
        <w:gridCol w:w="1514"/>
        <w:gridCol w:w="1968"/>
        <w:gridCol w:w="1664"/>
        <w:gridCol w:w="1816"/>
        <w:gridCol w:w="1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6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序号</w:t>
            </w:r>
          </w:p>
        </w:tc>
        <w:tc>
          <w:tcPr>
            <w:tcW w:w="15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企业名称</w:t>
            </w: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统一社会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信用代码</w:t>
            </w: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企业开户行及账号信息</w:t>
            </w:r>
          </w:p>
        </w:tc>
        <w:tc>
          <w:tcPr>
            <w:tcW w:w="19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竞技项目名称</w:t>
            </w:r>
          </w:p>
        </w:tc>
        <w:tc>
          <w:tcPr>
            <w:tcW w:w="16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支持类型</w:t>
            </w:r>
          </w:p>
        </w:tc>
        <w:tc>
          <w:tcPr>
            <w:tcW w:w="18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是否符合“绿色门槛”、科研诚信、社会信用等要求</w:t>
            </w:r>
          </w:p>
        </w:tc>
        <w:tc>
          <w:tcPr>
            <w:tcW w:w="1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省直管县（区、市）具体名称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开户行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账号</w:t>
            </w:r>
          </w:p>
        </w:tc>
        <w:tc>
          <w:tcPr>
            <w:tcW w:w="19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28"/>
          <w:szCs w:val="32"/>
        </w:rPr>
        <w:t>说明：支持类型分为优胜成长组企业、优胜初创组企业、优势团队成立企业3类，企业名称与银行账户户名不一致的，需备注说明。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